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50452</wp:posOffset>
            </wp:positionV>
            <wp:extent cx="714032" cy="758736"/>
            <wp:effectExtent l="0" t="0" r="0" b="0"/>
            <wp:wrapNone/>
            <wp:docPr id="1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Centro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soggiorno studi</w:t>
      </w:r>
      <w:r>
        <w:rPr>
          <w:color w:val="231F20"/>
        </w:rPr>
        <w:tab/>
        <w:t>Allegato 16</w:t>
      </w:r>
    </w:p>
    <w:p w:rsidR="00847F01" w:rsidRDefault="00847F01">
      <w:pPr>
        <w:pStyle w:val="Corpodeltesto"/>
        <w:spacing w:before="7"/>
        <w:rPr>
          <w:i/>
          <w:sz w:val="26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921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536"/>
        </w:tabs>
        <w:spacing w:before="106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0"/>
        </w:tabs>
        <w:spacing w:before="106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1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Centro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soggiorno studi</w:t>
      </w:r>
      <w:r>
        <w:rPr>
          <w:color w:val="231F20"/>
        </w:rPr>
        <w:tab/>
        <w:t>Allegato 16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1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Centro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soggiorno studi</w:t>
      </w:r>
      <w:r>
        <w:rPr>
          <w:i/>
          <w:color w:val="231F20"/>
          <w:sz w:val="20"/>
        </w:rPr>
        <w:tab/>
        <w:t>Allegato 16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E14999">
      <w:pPr>
        <w:spacing w:before="120" w:line="249" w:lineRule="auto"/>
        <w:ind w:left="442" w:right="8635"/>
        <w:rPr>
          <w:sz w:val="20"/>
        </w:rPr>
      </w:pPr>
      <w:r w:rsidRPr="00E149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48.2pt;margin-top:5.65pt;width:20.1pt;height:82.35pt;z-index:251747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E14999">
      <w:pPr>
        <w:spacing w:before="133" w:line="278" w:lineRule="auto"/>
        <w:ind w:left="407" w:right="7378"/>
        <w:rPr>
          <w:sz w:val="20"/>
        </w:rPr>
      </w:pPr>
      <w:r w:rsidRPr="00E14999">
        <w:pict>
          <v:shape id="_x0000_s1051" type="#_x0000_t202" style="position:absolute;left:0;text-align:left;margin-left:248.4pt;margin-top:5.55pt;width:20.1pt;height:213.1pt;z-index:251748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6560</wp:posOffset>
            </wp:positionV>
            <wp:extent cx="714032" cy="758736"/>
            <wp:effectExtent l="0" t="0" r="0" b="0"/>
            <wp:wrapNone/>
            <wp:docPr id="1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Centro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soggiorno studi</w:t>
      </w:r>
      <w:r>
        <w:rPr>
          <w:i/>
          <w:color w:val="231F20"/>
          <w:sz w:val="20"/>
        </w:rPr>
        <w:tab/>
        <w:t>Allegato 16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21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spacing w:before="4"/>
        <w:rPr>
          <w:b/>
          <w:sz w:val="33"/>
        </w:rPr>
      </w:pPr>
    </w:p>
    <w:p w:rsidR="00847F01" w:rsidRDefault="009109C3">
      <w:pPr>
        <w:spacing w:line="242" w:lineRule="auto"/>
        <w:ind w:left="343" w:right="1520"/>
        <w:jc w:val="both"/>
        <w:rPr>
          <w:sz w:val="18"/>
        </w:rPr>
      </w:pPr>
      <w:r>
        <w:rPr>
          <w:color w:val="231F20"/>
          <w:sz w:val="18"/>
        </w:rPr>
        <w:t xml:space="preserve">I Centri soggiorno studi sono esercizi ricettivi dedicati ad ospitalità finalizzata all’educazione e formazione in strutture dotate di adeguate attrezzature per l’attività didattica e </w:t>
      </w:r>
      <w:proofErr w:type="spellStart"/>
      <w:r>
        <w:rPr>
          <w:color w:val="231F20"/>
          <w:sz w:val="18"/>
        </w:rPr>
        <w:t>convegnistica</w:t>
      </w:r>
      <w:proofErr w:type="spellEnd"/>
      <w:r>
        <w:rPr>
          <w:color w:val="231F20"/>
          <w:sz w:val="18"/>
        </w:rPr>
        <w:t xml:space="preserve"> specializzata (LR 8/2017, art. 24, c.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1)</w:t>
      </w:r>
    </w:p>
    <w:p w:rsidR="00847F01" w:rsidRDefault="009109C3">
      <w:pPr>
        <w:spacing w:before="4" w:line="244" w:lineRule="auto"/>
        <w:ind w:left="343" w:right="1531"/>
        <w:jc w:val="both"/>
        <w:rPr>
          <w:sz w:val="18"/>
        </w:rPr>
      </w:pPr>
      <w:r>
        <w:rPr>
          <w:color w:val="231F20"/>
          <w:sz w:val="18"/>
        </w:rPr>
        <w:t>Sono gestiti da enti pubblici, associazioni, organizzazioni sindacali e altri soggetti privati operanti nel settore della formazione (LR 8/2018, art. 24, comma 2).</w:t>
      </w:r>
    </w:p>
    <w:p w:rsidR="00847F01" w:rsidRDefault="00847F01">
      <w:pPr>
        <w:pStyle w:val="Corpodeltesto"/>
        <w:spacing w:before="1"/>
        <w:rPr>
          <w:sz w:val="18"/>
        </w:rPr>
      </w:pP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5"/>
        </w:tabs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4" w:line="242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I Centri soggiorno studi sono classificate in un’unica categoria sulla base dei requisiti previsti per gli alberghi classificati a 2 stelle (RR 8/2018, Tabella A), nel rispetto della normativa vigente, in particolare in materia di igiene a sanità, sicurezza, urbanistica, edilizia e prevenzione incendi (RR 8/2018, art. 3, comma 6).</w:t>
      </w:r>
    </w:p>
    <w:p w:rsidR="00847F01" w:rsidRDefault="009109C3">
      <w:pPr>
        <w:spacing w:before="3" w:line="242" w:lineRule="auto"/>
        <w:ind w:left="734" w:right="1532"/>
        <w:jc w:val="both"/>
        <w:rPr>
          <w:sz w:val="18"/>
        </w:rPr>
      </w:pPr>
      <w:r>
        <w:rPr>
          <w:color w:val="231F20"/>
          <w:sz w:val="18"/>
        </w:rPr>
        <w:t>La classificazione ha validità quinquennale e decorre dal 1° gennaio 2019 (RR 8/2018, art. 29).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5"/>
        </w:tabs>
        <w:spacing w:before="4"/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Unità</w:t>
      </w:r>
    </w:p>
    <w:p w:rsidR="00847F01" w:rsidRDefault="009109C3">
      <w:pPr>
        <w:spacing w:before="5"/>
        <w:ind w:left="734"/>
        <w:jc w:val="both"/>
        <w:rPr>
          <w:sz w:val="18"/>
        </w:rPr>
      </w:pPr>
      <w:r>
        <w:rPr>
          <w:color w:val="231F20"/>
          <w:sz w:val="18"/>
        </w:rPr>
        <w:t>Il termine “</w:t>
      </w:r>
      <w:r>
        <w:rPr>
          <w:b/>
          <w:color w:val="231F20"/>
          <w:sz w:val="18"/>
        </w:rPr>
        <w:t>unità</w:t>
      </w:r>
      <w:r>
        <w:rPr>
          <w:color w:val="231F20"/>
          <w:sz w:val="18"/>
        </w:rPr>
        <w:t>” comprende sia le camere che le suite.</w:t>
      </w:r>
    </w:p>
    <w:p w:rsidR="00847F01" w:rsidRDefault="009109C3">
      <w:pPr>
        <w:spacing w:before="4" w:line="242" w:lineRule="auto"/>
        <w:ind w:left="734" w:right="1523"/>
        <w:jc w:val="both"/>
        <w:rPr>
          <w:sz w:val="18"/>
        </w:rPr>
      </w:pPr>
      <w:r>
        <w:rPr>
          <w:color w:val="231F20"/>
          <w:sz w:val="18"/>
        </w:rPr>
        <w:t>Nei Centri soggiorno studi le camere sono a uno</w:t>
      </w:r>
      <w:proofErr w:type="gramStart"/>
      <w:r>
        <w:rPr>
          <w:color w:val="231F20"/>
          <w:sz w:val="18"/>
        </w:rPr>
        <w:t xml:space="preserve">, </w:t>
      </w:r>
      <w:proofErr w:type="gramEnd"/>
      <w:r>
        <w:rPr>
          <w:color w:val="231F20"/>
          <w:sz w:val="18"/>
        </w:rPr>
        <w:t>due, tre, quattro e oltre quattro posti letto, nel rispetto delle dimensioni minime di cui alla Tabella P) allegata al Regolamento regionale n. 8/2018 (RR 8/2018, art. 8, comma 7)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2"/>
        </w:tabs>
        <w:spacing w:before="3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before="2" w:line="244" w:lineRule="auto"/>
        <w:ind w:left="734" w:right="1520"/>
        <w:jc w:val="both"/>
        <w:rPr>
          <w:sz w:val="18"/>
        </w:rPr>
      </w:pPr>
      <w:r>
        <w:rPr>
          <w:color w:val="231F20"/>
          <w:sz w:val="18"/>
        </w:rPr>
        <w:t xml:space="preserve">Nel numero dei posti letto </w:t>
      </w:r>
      <w:r>
        <w:rPr>
          <w:color w:val="231F20"/>
          <w:sz w:val="18"/>
          <w:u w:val="single" w:color="231F20"/>
        </w:rPr>
        <w:t>non devono essere considerati gli eventuali Letti aggiunti</w:t>
      </w:r>
      <w:r>
        <w:rPr>
          <w:color w:val="231F20"/>
          <w:sz w:val="18"/>
        </w:rPr>
        <w:t xml:space="preserve">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2"/>
        </w:tabs>
        <w:spacing w:line="216" w:lineRule="exact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Bagni privati e riservati</w:t>
      </w:r>
    </w:p>
    <w:p w:rsidR="00847F01" w:rsidRDefault="009109C3">
      <w:pPr>
        <w:spacing w:before="4"/>
        <w:ind w:left="734"/>
        <w:jc w:val="both"/>
        <w:rPr>
          <w:sz w:val="18"/>
        </w:rPr>
      </w:pPr>
      <w:r>
        <w:rPr>
          <w:color w:val="231F20"/>
          <w:sz w:val="18"/>
        </w:rPr>
        <w:t>Il bagno privato è posto all’interno della camera.</w:t>
      </w:r>
    </w:p>
    <w:p w:rsidR="00847F01" w:rsidRDefault="009109C3">
      <w:pPr>
        <w:spacing w:before="4"/>
        <w:ind w:left="734" w:right="1525"/>
        <w:jc w:val="both"/>
        <w:rPr>
          <w:sz w:val="18"/>
        </w:rPr>
      </w:pPr>
      <w:r>
        <w:rPr>
          <w:color w:val="231F20"/>
          <w:sz w:val="18"/>
        </w:rPr>
        <w:t>Il bagno riservato è posto all’esterno della camera, nelle immediate vicinanze, ed è ad uso esclusivo dei clienti di una sola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camera.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2"/>
        </w:tabs>
        <w:spacing w:before="6"/>
        <w:ind w:left="731" w:hanging="389"/>
        <w:jc w:val="both"/>
        <w:rPr>
          <w:b/>
          <w:sz w:val="18"/>
        </w:rPr>
      </w:pPr>
      <w:r>
        <w:rPr>
          <w:b/>
          <w:color w:val="231F20"/>
          <w:sz w:val="18"/>
        </w:rPr>
        <w:t>Suite</w:t>
      </w:r>
    </w:p>
    <w:p w:rsidR="00847F01" w:rsidRDefault="009109C3">
      <w:pPr>
        <w:spacing w:before="4" w:line="244" w:lineRule="auto"/>
        <w:ind w:left="734" w:right="1530"/>
        <w:jc w:val="both"/>
        <w:rPr>
          <w:sz w:val="18"/>
        </w:rPr>
      </w:pPr>
      <w:r>
        <w:rPr>
          <w:color w:val="231F20"/>
          <w:sz w:val="18"/>
        </w:rPr>
        <w:t xml:space="preserve">Ai sensi dell’art. 7, RR 8/2018, “assumono la definizione di suite le camere composte da almeno due vani distinti, di cui </w:t>
      </w:r>
      <w:proofErr w:type="gramStart"/>
      <w:r>
        <w:rPr>
          <w:color w:val="231F20"/>
          <w:sz w:val="18"/>
        </w:rPr>
        <w:t>uno</w:t>
      </w:r>
      <w:proofErr w:type="gramEnd"/>
      <w:r>
        <w:rPr>
          <w:color w:val="231F20"/>
          <w:sz w:val="18"/>
        </w:rPr>
        <w:t xml:space="preserve"> allestito a salotto e uno a camera da letto e da servizi igienici privati”.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5"/>
        </w:tabs>
        <w:spacing w:line="217" w:lineRule="exact"/>
        <w:ind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Tipi di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unità: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singola con bagno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privato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singola con bagno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riservato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2"/>
        </w:tabs>
        <w:spacing w:before="4"/>
        <w:ind w:left="1421" w:hanging="561"/>
        <w:rPr>
          <w:sz w:val="18"/>
        </w:rPr>
      </w:pPr>
      <w:r>
        <w:rPr>
          <w:color w:val="231F20"/>
          <w:sz w:val="18"/>
        </w:rPr>
        <w:t>Camera doppia con bagno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privato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2"/>
        <w:rPr>
          <w:sz w:val="18"/>
        </w:rPr>
      </w:pPr>
      <w:r>
        <w:rPr>
          <w:color w:val="231F20"/>
          <w:sz w:val="18"/>
        </w:rPr>
        <w:t>Camera doppia con bagno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riservato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2"/>
        </w:tabs>
        <w:spacing w:before="4"/>
        <w:ind w:left="1421" w:hanging="561"/>
        <w:rPr>
          <w:sz w:val="18"/>
        </w:rPr>
      </w:pPr>
      <w:r>
        <w:rPr>
          <w:color w:val="231F20"/>
          <w:sz w:val="18"/>
        </w:rPr>
        <w:t>Camera tripla con bagno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privato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tripla con bagno riservato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2"/>
        </w:tabs>
        <w:spacing w:before="2"/>
        <w:ind w:left="1421" w:hanging="561"/>
        <w:rPr>
          <w:sz w:val="18"/>
        </w:rPr>
      </w:pPr>
      <w:r>
        <w:rPr>
          <w:color w:val="231F20"/>
          <w:sz w:val="18"/>
        </w:rPr>
        <w:t>Camera quadrupla con bagno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privato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quadrupla con bagno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riservato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oltre 4 letti con bagno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privato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0"/>
          <w:tab w:val="left" w:pos="1421"/>
        </w:tabs>
        <w:spacing w:before="4"/>
        <w:rPr>
          <w:sz w:val="18"/>
        </w:rPr>
      </w:pPr>
      <w:r>
        <w:rPr>
          <w:color w:val="231F20"/>
          <w:sz w:val="18"/>
        </w:rPr>
        <w:t>Camera oltre 4 letti con bagno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riservato</w:t>
      </w:r>
    </w:p>
    <w:p w:rsidR="00847F01" w:rsidRDefault="009109C3">
      <w:pPr>
        <w:pStyle w:val="Paragrafoelenco"/>
        <w:numPr>
          <w:ilvl w:val="1"/>
          <w:numId w:val="14"/>
        </w:numPr>
        <w:tabs>
          <w:tab w:val="left" w:pos="1421"/>
          <w:tab w:val="left" w:pos="1422"/>
        </w:tabs>
        <w:spacing w:before="2"/>
        <w:ind w:left="1421" w:hanging="561"/>
        <w:rPr>
          <w:sz w:val="18"/>
        </w:rPr>
      </w:pPr>
      <w:r>
        <w:rPr>
          <w:color w:val="231F20"/>
          <w:sz w:val="18"/>
        </w:rPr>
        <w:t>Suite</w:t>
      </w:r>
    </w:p>
    <w:p w:rsidR="00847F01" w:rsidRDefault="009109C3">
      <w:pPr>
        <w:pStyle w:val="Paragrafoelenco"/>
        <w:numPr>
          <w:ilvl w:val="0"/>
          <w:numId w:val="14"/>
        </w:numPr>
        <w:tabs>
          <w:tab w:val="left" w:pos="733"/>
          <w:tab w:val="left" w:pos="735"/>
        </w:tabs>
        <w:spacing w:before="4"/>
        <w:ind w:hanging="392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Default="004B4E3C" w:rsidP="004B4E3C">
      <w:pPr>
        <w:pStyle w:val="Corpodeltesto"/>
        <w:ind w:left="720"/>
        <w:rPr>
          <w:sz w:val="20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Sect="00AF3D41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CF" w:rsidRDefault="00AD5DCF" w:rsidP="00847F01">
      <w:r>
        <w:separator/>
      </w:r>
    </w:p>
  </w:endnote>
  <w:endnote w:type="continuationSeparator" w:id="0">
    <w:p w:rsidR="00AD5DCF" w:rsidRDefault="00AD5DCF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99" w:rsidRPr="00E14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99" w:rsidRPr="00E14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CF" w:rsidRDefault="00AD5DCF" w:rsidP="00847F01">
      <w:r>
        <w:separator/>
      </w:r>
    </w:p>
  </w:footnote>
  <w:footnote w:type="continuationSeparator" w:id="0">
    <w:p w:rsidR="00AD5DCF" w:rsidRDefault="00AD5DCF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E14999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E14999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0A67F4"/>
    <w:rsid w:val="000C0D86"/>
    <w:rsid w:val="000C4093"/>
    <w:rsid w:val="0017783D"/>
    <w:rsid w:val="002175F3"/>
    <w:rsid w:val="00277351"/>
    <w:rsid w:val="002A0F6F"/>
    <w:rsid w:val="0038604F"/>
    <w:rsid w:val="00396C2C"/>
    <w:rsid w:val="00405A7C"/>
    <w:rsid w:val="004A5D64"/>
    <w:rsid w:val="004B4E3C"/>
    <w:rsid w:val="00561E1D"/>
    <w:rsid w:val="005E51A6"/>
    <w:rsid w:val="005F7430"/>
    <w:rsid w:val="00650CA9"/>
    <w:rsid w:val="006C23C8"/>
    <w:rsid w:val="006D1548"/>
    <w:rsid w:val="00754892"/>
    <w:rsid w:val="007E2C3D"/>
    <w:rsid w:val="007E7D7A"/>
    <w:rsid w:val="00847F01"/>
    <w:rsid w:val="00886C8C"/>
    <w:rsid w:val="00892BCD"/>
    <w:rsid w:val="008A762F"/>
    <w:rsid w:val="009109C3"/>
    <w:rsid w:val="00953926"/>
    <w:rsid w:val="00973909"/>
    <w:rsid w:val="009C2B62"/>
    <w:rsid w:val="009F5C6E"/>
    <w:rsid w:val="00A15E16"/>
    <w:rsid w:val="00A34460"/>
    <w:rsid w:val="00A54928"/>
    <w:rsid w:val="00AB74B2"/>
    <w:rsid w:val="00AD4B66"/>
    <w:rsid w:val="00AD5DCF"/>
    <w:rsid w:val="00AF3D41"/>
    <w:rsid w:val="00B2229A"/>
    <w:rsid w:val="00B967BF"/>
    <w:rsid w:val="00BA00AA"/>
    <w:rsid w:val="00C92475"/>
    <w:rsid w:val="00D07147"/>
    <w:rsid w:val="00D128F2"/>
    <w:rsid w:val="00D4750F"/>
    <w:rsid w:val="00DA65F5"/>
    <w:rsid w:val="00E14999"/>
    <w:rsid w:val="00EF4D21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2019-05-20T13:51:00Z</dcterms:created>
  <dcterms:modified xsi:type="dcterms:W3CDTF">2019-05-20T14:53:00Z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