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pStyle w:val="Titolo41"/>
        <w:tabs>
          <w:tab w:val="left" w:pos="8063"/>
        </w:tabs>
        <w:spacing w:line="189" w:lineRule="exact"/>
      </w:pPr>
      <w:r>
        <w:rPr>
          <w:color w:val="231F20"/>
        </w:rPr>
        <w:t>Case e appartamenti per vacanze 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Gestione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imprenditoriale</w:t>
      </w:r>
      <w:r>
        <w:rPr>
          <w:color w:val="231F20"/>
        </w:rPr>
        <w:tab/>
        <w:t>Allegato 8</w:t>
      </w:r>
    </w:p>
    <w:p w:rsidR="00847F01" w:rsidRDefault="009109C3">
      <w:pPr>
        <w:tabs>
          <w:tab w:val="left" w:pos="8931"/>
        </w:tabs>
        <w:spacing w:line="1088" w:lineRule="exact"/>
        <w:ind w:left="3464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</w:t>
      </w:r>
      <w:r>
        <w:rPr>
          <w:b/>
          <w:color w:val="231F20"/>
          <w:spacing w:val="19"/>
          <w:sz w:val="29"/>
          <w:u w:val="single" w:color="231F20"/>
        </w:rPr>
        <w:t xml:space="preserve"> </w:t>
      </w:r>
      <w:r>
        <w:rPr>
          <w:b/>
          <w:color w:val="231F20"/>
          <w:sz w:val="29"/>
          <w:u w:val="single" w:color="231F20"/>
        </w:rPr>
        <w:t>STRUTTURA</w:t>
      </w:r>
      <w:r>
        <w:rPr>
          <w:b/>
          <w:color w:val="231F20"/>
          <w:sz w:val="29"/>
        </w:rPr>
        <w:tab/>
      </w:r>
      <w:r>
        <w:rPr>
          <w:b/>
          <w:noProof/>
          <w:color w:val="231F20"/>
          <w:position w:val="-17"/>
          <w:sz w:val="29"/>
          <w:lang w:bidi="ar-SA"/>
        </w:rPr>
        <w:drawing>
          <wp:inline distT="0" distB="0" distL="0" distR="0">
            <wp:extent cx="714032" cy="758736"/>
            <wp:effectExtent l="0" t="0" r="0" b="0"/>
            <wp:docPr id="7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01" w:rsidRDefault="009109C3">
      <w:pPr>
        <w:spacing w:line="192" w:lineRule="exact"/>
        <w:ind w:left="241" w:right="820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3"/>
        <w:rPr>
          <w:i/>
          <w:sz w:val="19"/>
        </w:rPr>
      </w:pPr>
    </w:p>
    <w:p w:rsidR="00847F01" w:rsidRDefault="009109C3">
      <w:pPr>
        <w:tabs>
          <w:tab w:val="left" w:pos="8612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8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5"/>
        </w:tabs>
        <w:spacing w:before="168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17"/>
        </w:tabs>
        <w:spacing w:before="167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3" w:space="40"/>
            <w:col w:w="5177"/>
          </w:cols>
        </w:sectPr>
      </w:pPr>
    </w:p>
    <w:p w:rsidR="00847F01" w:rsidRDefault="009109C3">
      <w:pPr>
        <w:tabs>
          <w:tab w:val="left" w:pos="5191"/>
        </w:tabs>
        <w:spacing w:before="3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3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3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7355"/>
          <w:tab w:val="left" w:pos="8625"/>
        </w:tabs>
        <w:spacing w:before="168" w:line="403" w:lineRule="auto"/>
        <w:ind w:left="343" w:right="1790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pacing w:val="-3"/>
          <w:sz w:val="20"/>
        </w:rPr>
        <w:t>-</w:t>
      </w:r>
      <w:r>
        <w:rPr>
          <w:color w:val="231F20"/>
          <w:spacing w:val="-3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3"/>
        <w:rPr>
          <w:b/>
          <w:sz w:val="25"/>
        </w:rPr>
      </w:pPr>
    </w:p>
    <w:p w:rsidR="00847F01" w:rsidRDefault="009109C3">
      <w:pPr>
        <w:tabs>
          <w:tab w:val="left" w:pos="3347"/>
          <w:tab w:val="left" w:pos="8661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9109C3">
      <w:pPr>
        <w:spacing w:before="111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3753"/>
        </w:tabs>
        <w:spacing w:before="106"/>
        <w:ind w:left="2336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663"/>
        </w:tabs>
        <w:spacing w:before="106"/>
        <w:ind w:left="2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406"/>
        </w:tabs>
        <w:spacing w:before="106"/>
        <w:ind w:left="8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754" w:space="40"/>
            <w:col w:w="1664" w:space="39"/>
            <w:col w:w="4923"/>
          </w:cols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spacing w:before="3"/>
        <w:rPr>
          <w:b/>
          <w:sz w:val="20"/>
        </w:rPr>
      </w:pPr>
    </w:p>
    <w:p w:rsidR="00847F01" w:rsidRDefault="009109C3">
      <w:pPr>
        <w:spacing w:after="4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1036"/>
        <w:gridCol w:w="1038"/>
      </w:tblGrid>
      <w:tr w:rsidR="00847F01">
        <w:trPr>
          <w:trHeight w:val="222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3" w:line="199" w:lineRule="exact"/>
              <w:ind w:left="7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Unità abitative autonome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3" w:line="199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unità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3" w:line="199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Letti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3" w:line="199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Bagni</w:t>
            </w: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Monolocale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Bilocale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Trilocale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Appartamento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8063"/>
        </w:tabs>
      </w:pPr>
      <w:r>
        <w:rPr>
          <w:noProof/>
          <w:lang w:bidi="ar-SA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6182944</wp:posOffset>
            </wp:positionH>
            <wp:positionV relativeFrom="paragraph">
              <wp:posOffset>177134</wp:posOffset>
            </wp:positionV>
            <wp:extent cx="714108" cy="759040"/>
            <wp:effectExtent l="0" t="0" r="0" b="0"/>
            <wp:wrapNone/>
            <wp:docPr id="7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Case e appartamenti per vacanze 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Gestione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imprenditoriale</w:t>
      </w:r>
      <w:r>
        <w:rPr>
          <w:color w:val="231F20"/>
        </w:rPr>
        <w:tab/>
        <w:t>Allegato 8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9109C3">
      <w:pPr>
        <w:spacing w:before="226"/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3"/>
          <w:tab w:val="left" w:pos="8268"/>
        </w:tabs>
        <w:spacing w:line="350" w:lineRule="auto"/>
        <w:ind w:left="343" w:right="2104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2"/>
        <w:rPr>
          <w:b/>
          <w:sz w:val="29"/>
        </w:rPr>
      </w:pPr>
    </w:p>
    <w:p w:rsidR="00847F01" w:rsidRDefault="009109C3">
      <w:pPr>
        <w:spacing w:before="106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620"/>
        <w:gridCol w:w="2136"/>
        <w:gridCol w:w="643"/>
        <w:gridCol w:w="821"/>
        <w:gridCol w:w="1905"/>
        <w:gridCol w:w="540"/>
        <w:gridCol w:w="689"/>
        <w:gridCol w:w="1033"/>
      </w:tblGrid>
      <w:tr w:rsidR="00847F01">
        <w:trPr>
          <w:trHeight w:val="446"/>
        </w:trPr>
        <w:tc>
          <w:tcPr>
            <w:tcW w:w="1620" w:type="dxa"/>
          </w:tcPr>
          <w:p w:rsidR="00847F01" w:rsidRDefault="009109C3">
            <w:pPr>
              <w:pStyle w:val="TableParagraph"/>
              <w:spacing w:before="113"/>
              <w:ind w:left="227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(5)</w:t>
            </w:r>
          </w:p>
        </w:tc>
        <w:tc>
          <w:tcPr>
            <w:tcW w:w="2136" w:type="dxa"/>
          </w:tcPr>
          <w:p w:rsidR="00847F01" w:rsidRDefault="009109C3">
            <w:pPr>
              <w:pStyle w:val="TableParagraph"/>
              <w:spacing w:before="1"/>
              <w:ind w:left="632" w:right="62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Indirizzo</w:t>
            </w:r>
          </w:p>
          <w:p w:rsidR="00847F01" w:rsidRDefault="009109C3">
            <w:pPr>
              <w:pStyle w:val="TableParagraph"/>
              <w:spacing w:before="4" w:line="201" w:lineRule="exact"/>
              <w:ind w:left="632" w:right="627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(eventuale)</w:t>
            </w:r>
          </w:p>
        </w:tc>
        <w:tc>
          <w:tcPr>
            <w:tcW w:w="643" w:type="dxa"/>
          </w:tcPr>
          <w:p w:rsidR="00847F01" w:rsidRDefault="009109C3">
            <w:pPr>
              <w:pStyle w:val="TableParagraph"/>
              <w:spacing w:before="113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1" w:type="dxa"/>
          </w:tcPr>
          <w:p w:rsidR="00847F01" w:rsidRDefault="009109C3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201" w:lineRule="exact"/>
              <w:ind w:left="213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1905" w:type="dxa"/>
          </w:tcPr>
          <w:p w:rsidR="00847F01" w:rsidRDefault="009109C3">
            <w:pPr>
              <w:pStyle w:val="TableParagraph"/>
              <w:spacing w:before="1"/>
              <w:ind w:left="517" w:right="50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</w:t>
            </w:r>
          </w:p>
          <w:p w:rsidR="00847F01" w:rsidRDefault="009109C3">
            <w:pPr>
              <w:pStyle w:val="TableParagraph"/>
              <w:spacing w:before="4" w:line="201" w:lineRule="exact"/>
              <w:ind w:left="517" w:right="510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(eventuale)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689" w:type="dxa"/>
          </w:tcPr>
          <w:p w:rsidR="00847F01" w:rsidRDefault="009109C3">
            <w:pPr>
              <w:pStyle w:val="TableParagraph"/>
              <w:spacing w:before="113"/>
              <w:ind w:left="12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3" w:type="dxa"/>
          </w:tcPr>
          <w:p w:rsidR="00847F01" w:rsidRDefault="009109C3">
            <w:pPr>
              <w:pStyle w:val="TableParagraph"/>
              <w:spacing w:before="1"/>
              <w:ind w:left="1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193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6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847F01">
      <w:pPr>
        <w:pStyle w:val="Corpodeltesto"/>
        <w:rPr>
          <w:b/>
          <w:sz w:val="26"/>
        </w:rPr>
      </w:pPr>
    </w:p>
    <w:p w:rsidR="00847F01" w:rsidRDefault="00847F01">
      <w:pPr>
        <w:pStyle w:val="Corpodeltesto"/>
        <w:spacing w:before="6"/>
        <w:rPr>
          <w:b/>
          <w:sz w:val="19"/>
        </w:rPr>
      </w:pPr>
    </w:p>
    <w:p w:rsidR="00847F01" w:rsidRDefault="009109C3">
      <w:pPr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8063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6200343</wp:posOffset>
            </wp:positionH>
            <wp:positionV relativeFrom="paragraph">
              <wp:posOffset>85885</wp:posOffset>
            </wp:positionV>
            <wp:extent cx="714108" cy="759040"/>
            <wp:effectExtent l="0" t="0" r="0" b="0"/>
            <wp:wrapNone/>
            <wp:docPr id="7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Case e appartamenti per vacanze –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Gestione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8</w:t>
      </w:r>
    </w:p>
    <w:p w:rsidR="00847F01" w:rsidRDefault="00847F01">
      <w:pPr>
        <w:pStyle w:val="Corpodeltesto"/>
        <w:spacing w:before="1"/>
        <w:rPr>
          <w:i/>
          <w:sz w:val="23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3"/>
          <w:tab w:val="left" w:pos="8270"/>
        </w:tabs>
        <w:spacing w:line="348" w:lineRule="auto"/>
        <w:ind w:left="343" w:right="2104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5"/>
        <w:rPr>
          <w:b/>
          <w:sz w:val="26"/>
        </w:rPr>
      </w:pPr>
    </w:p>
    <w:p w:rsidR="00847F01" w:rsidRDefault="009109C3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(6)</w:t>
      </w:r>
    </w:p>
    <w:p w:rsidR="00847F01" w:rsidRDefault="00B84726">
      <w:pPr>
        <w:spacing w:before="118" w:line="249" w:lineRule="auto"/>
        <w:ind w:left="442" w:right="8635"/>
        <w:rPr>
          <w:sz w:val="20"/>
        </w:rPr>
      </w:pPr>
      <w:r w:rsidRPr="00B847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248.2pt;margin-top:5.55pt;width:20.1pt;height:82.4pt;z-index:251707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6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1" w:line="252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spacing w:before="5"/>
        <w:rPr>
          <w:sz w:val="32"/>
        </w:rPr>
      </w:pPr>
    </w:p>
    <w:p w:rsidR="00847F01" w:rsidRDefault="009109C3">
      <w:pPr>
        <w:spacing w:before="1"/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B84726">
      <w:pPr>
        <w:spacing w:before="135" w:line="278" w:lineRule="auto"/>
        <w:ind w:left="407" w:right="7378"/>
        <w:rPr>
          <w:sz w:val="20"/>
        </w:rPr>
      </w:pPr>
      <w:r w:rsidRPr="00B84726">
        <w:pict>
          <v:shape id="_x0000_s1070" type="#_x0000_t202" style="position:absolute;left:0;text-align:left;margin-left:248.4pt;margin-top:5.65pt;width:20.1pt;height:213.1pt;z-index:251708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78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before="1"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41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8063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6130734</wp:posOffset>
            </wp:positionH>
            <wp:positionV relativeFrom="paragraph">
              <wp:posOffset>29090</wp:posOffset>
            </wp:positionV>
            <wp:extent cx="714032" cy="758736"/>
            <wp:effectExtent l="0" t="0" r="0" b="0"/>
            <wp:wrapNone/>
            <wp:docPr id="7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Case e appartamenti per vacanze –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Gestione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8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9109C3">
      <w:pPr>
        <w:spacing w:before="193"/>
        <w:ind w:left="241" w:right="1235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spacing w:before="230" w:line="244" w:lineRule="auto"/>
        <w:ind w:left="343" w:right="1529"/>
        <w:jc w:val="both"/>
        <w:rPr>
          <w:sz w:val="18"/>
        </w:rPr>
      </w:pPr>
      <w:r>
        <w:rPr>
          <w:color w:val="231F20"/>
          <w:sz w:val="18"/>
        </w:rPr>
        <w:t xml:space="preserve">Le Case e appartamenti per vacanze sono esercizi ricettivi gestiti unitariamente per fornire alloggio ed eventualmente servizi complementari in unità abitative composte da uno o più locali arredati, da servizi igienici e da cucina autonoma o da idoneo angolo cottura, poste nello stesso stabile o in stabili diversi ubicati nello stesso territorio comunale, all’interno </w:t>
      </w:r>
      <w:proofErr w:type="gramStart"/>
      <w:r>
        <w:rPr>
          <w:color w:val="231F20"/>
          <w:sz w:val="18"/>
        </w:rPr>
        <w:t>delle quali</w:t>
      </w:r>
      <w:proofErr w:type="gramEnd"/>
      <w:r>
        <w:rPr>
          <w:color w:val="231F20"/>
          <w:sz w:val="18"/>
        </w:rPr>
        <w:t xml:space="preserve"> non possono esservi persone residenti. Nelle Case e appartamenti per vacanze non è consentita la somministrazione di alimenti e bevande (LR 8/2017, art. 19, commi 1 e 2).</w:t>
      </w:r>
    </w:p>
    <w:p w:rsidR="00847F01" w:rsidRDefault="009109C3">
      <w:pPr>
        <w:spacing w:line="244" w:lineRule="auto"/>
        <w:ind w:left="343" w:right="1524"/>
        <w:jc w:val="both"/>
        <w:rPr>
          <w:sz w:val="18"/>
        </w:rPr>
      </w:pPr>
      <w:r>
        <w:rPr>
          <w:color w:val="231F20"/>
          <w:sz w:val="18"/>
        </w:rPr>
        <w:t>La gestione in forma imprenditoriale è organizzata e non occasionale ed è comunque obbligatoria nel caso in cui il numero di unità è pari o superiore a tre (LR 8/2017, art. 19, comma 4, lett. a).</w:t>
      </w:r>
    </w:p>
    <w:p w:rsidR="00847F01" w:rsidRDefault="00847F01">
      <w:pPr>
        <w:pStyle w:val="Corpodeltesto"/>
        <w:spacing w:before="9"/>
        <w:rPr>
          <w:sz w:val="17"/>
        </w:rPr>
      </w:pPr>
    </w:p>
    <w:p w:rsidR="00847F01" w:rsidRDefault="009109C3">
      <w:pPr>
        <w:pStyle w:val="Paragrafoelenco"/>
        <w:numPr>
          <w:ilvl w:val="0"/>
          <w:numId w:val="22"/>
        </w:numPr>
        <w:tabs>
          <w:tab w:val="left" w:pos="735"/>
        </w:tabs>
        <w:ind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Classificazione</w:t>
      </w:r>
    </w:p>
    <w:p w:rsidR="00847F01" w:rsidRDefault="009109C3">
      <w:pPr>
        <w:spacing w:before="2" w:line="244" w:lineRule="auto"/>
        <w:ind w:left="734" w:right="1527"/>
        <w:jc w:val="both"/>
        <w:rPr>
          <w:sz w:val="18"/>
        </w:rPr>
      </w:pPr>
      <w:r>
        <w:rPr>
          <w:color w:val="231F20"/>
          <w:sz w:val="18"/>
        </w:rPr>
        <w:t>Le Case e appartamenti per vacanze sono classificate in un’unica categoria sulla base dei requisiti minimi obbligatori indicati nella Tabella C) allegata al Regolamento Regionale 8/2018, nel rispetto della normativa vigente, in particolare in materia di igiene a sanità, sicurezza, urbanistica, edilizia e prevenzione incendi (RR 8/2018, art. 3, comma 2</w:t>
      </w:r>
      <w:proofErr w:type="gramStart"/>
      <w:r>
        <w:rPr>
          <w:color w:val="231F20"/>
          <w:sz w:val="18"/>
        </w:rPr>
        <w:t>).</w:t>
      </w:r>
      <w:proofErr w:type="gramEnd"/>
    </w:p>
    <w:p w:rsidR="00847F01" w:rsidRDefault="009109C3">
      <w:pPr>
        <w:spacing w:line="244" w:lineRule="auto"/>
        <w:ind w:left="734" w:right="1527"/>
        <w:jc w:val="both"/>
        <w:rPr>
          <w:sz w:val="18"/>
        </w:rPr>
      </w:pPr>
      <w:r>
        <w:rPr>
          <w:color w:val="231F20"/>
          <w:sz w:val="18"/>
        </w:rPr>
        <w:t>La classificazione ha validità quinquennale e decorre dal 1° gennaio 2019 (RR 8/2018, art. 29). Per le strutture ricettive che iniziano l’attività nel corso del quinquennio, la classificazione ha validità per la frazione residua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(RR 8/2018, art. 6)</w:t>
      </w:r>
    </w:p>
    <w:p w:rsidR="00847F01" w:rsidRDefault="009109C3">
      <w:pPr>
        <w:pStyle w:val="Paragrafoelenco"/>
        <w:numPr>
          <w:ilvl w:val="0"/>
          <w:numId w:val="22"/>
        </w:numPr>
        <w:tabs>
          <w:tab w:val="left" w:pos="732"/>
        </w:tabs>
        <w:spacing w:line="217" w:lineRule="exact"/>
        <w:ind w:left="731" w:hanging="389"/>
        <w:jc w:val="both"/>
        <w:rPr>
          <w:b/>
          <w:sz w:val="18"/>
        </w:rPr>
      </w:pPr>
      <w:r>
        <w:rPr>
          <w:b/>
          <w:color w:val="231F20"/>
          <w:sz w:val="18"/>
        </w:rPr>
        <w:t>Unità</w:t>
      </w:r>
    </w:p>
    <w:p w:rsidR="00847F01" w:rsidRDefault="009109C3">
      <w:pPr>
        <w:spacing w:before="1" w:line="244" w:lineRule="auto"/>
        <w:ind w:left="734" w:right="1525"/>
        <w:jc w:val="both"/>
        <w:rPr>
          <w:sz w:val="18"/>
        </w:rPr>
      </w:pPr>
      <w:r>
        <w:rPr>
          <w:color w:val="231F20"/>
          <w:sz w:val="18"/>
        </w:rPr>
        <w:t>Ciascuna unità abitativa autonoma è destinata all’alloggio di turisti nella sua interezza e al suo interno non possono essere riservati vani al titolare o ad altri soggetti. Va pertanto conteggiata la ricettività totale facendo riferimento all’unità abitativa nel suo complesso, senza il dettaglio dei singoli locali di cui è composta.</w:t>
      </w:r>
    </w:p>
    <w:p w:rsidR="00847F01" w:rsidRDefault="009109C3">
      <w:pPr>
        <w:spacing w:line="244" w:lineRule="auto"/>
        <w:ind w:left="734" w:right="1521"/>
        <w:jc w:val="both"/>
        <w:rPr>
          <w:sz w:val="18"/>
        </w:rPr>
      </w:pPr>
      <w:r>
        <w:rPr>
          <w:color w:val="231F20"/>
          <w:sz w:val="18"/>
        </w:rPr>
        <w:t>Le dimensioni minime dei locali all’interno delle unità abitative autonome sono indicate nella Tabella P allegata al Regolamento Regionale n. 8/</w:t>
      </w:r>
      <w:proofErr w:type="gramStart"/>
      <w:r>
        <w:rPr>
          <w:color w:val="231F20"/>
          <w:sz w:val="18"/>
        </w:rPr>
        <w:t>2018</w:t>
      </w:r>
      <w:proofErr w:type="gramEnd"/>
    </w:p>
    <w:p w:rsidR="00847F01" w:rsidRDefault="009109C3">
      <w:pPr>
        <w:pStyle w:val="Paragrafoelenco"/>
        <w:numPr>
          <w:ilvl w:val="0"/>
          <w:numId w:val="22"/>
        </w:numPr>
        <w:tabs>
          <w:tab w:val="left" w:pos="732"/>
        </w:tabs>
        <w:spacing w:line="219" w:lineRule="exact"/>
        <w:ind w:left="731" w:hanging="389"/>
        <w:jc w:val="both"/>
        <w:rPr>
          <w:b/>
          <w:sz w:val="18"/>
        </w:rPr>
      </w:pPr>
      <w:r>
        <w:rPr>
          <w:b/>
          <w:color w:val="231F20"/>
          <w:sz w:val="18"/>
        </w:rPr>
        <w:t>Letti</w:t>
      </w:r>
    </w:p>
    <w:p w:rsidR="00847F01" w:rsidRDefault="009109C3">
      <w:pPr>
        <w:spacing w:line="244" w:lineRule="auto"/>
        <w:ind w:left="734" w:right="1521"/>
        <w:jc w:val="both"/>
        <w:rPr>
          <w:sz w:val="18"/>
        </w:rPr>
      </w:pPr>
      <w:r>
        <w:rPr>
          <w:color w:val="231F20"/>
          <w:sz w:val="18"/>
        </w:rPr>
        <w:t>Nel numero dei posti letto autorizzati dell’unità abitativa autonoma devono essere conteggiati anche quelli degli eventuali divani letto, fino a un massimo di due, posti nei locali adibiti a soggiorno (LR 8/2017, art. 19, comma 3).</w:t>
      </w:r>
    </w:p>
    <w:p w:rsidR="00847F01" w:rsidRDefault="009109C3">
      <w:pPr>
        <w:spacing w:line="244" w:lineRule="auto"/>
        <w:ind w:left="734" w:right="1522"/>
        <w:jc w:val="both"/>
        <w:rPr>
          <w:sz w:val="18"/>
        </w:rPr>
      </w:pPr>
      <w:r>
        <w:rPr>
          <w:color w:val="231F20"/>
          <w:sz w:val="18"/>
        </w:rPr>
        <w:t>Al contrario,</w:t>
      </w:r>
      <w:r>
        <w:rPr>
          <w:color w:val="231F20"/>
          <w:sz w:val="18"/>
          <w:u w:val="single" w:color="231F20"/>
        </w:rPr>
        <w:t xml:space="preserve"> non devono essere considerati gli eventuali Letti aggiunti</w:t>
      </w:r>
      <w:r>
        <w:rPr>
          <w:color w:val="231F20"/>
          <w:sz w:val="18"/>
        </w:rPr>
        <w:t xml:space="preserve"> che, ai sensi dell’art. 9 del Regolamento Regionale n. 8/2018, possono essere aggiunti solo in via temporanea ed esclusivamente su richiesta del cliente, qualora la superficie della camera ne consenta la fruibilità. I letti aggiunti devono essere rimossi al momento della partenza del cliente.</w:t>
      </w:r>
    </w:p>
    <w:p w:rsidR="00847F01" w:rsidRDefault="009109C3">
      <w:pPr>
        <w:pStyle w:val="Paragrafoelenco"/>
        <w:numPr>
          <w:ilvl w:val="0"/>
          <w:numId w:val="22"/>
        </w:numPr>
        <w:tabs>
          <w:tab w:val="left" w:pos="735"/>
        </w:tabs>
        <w:spacing w:line="214" w:lineRule="exact"/>
        <w:ind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Bagni</w:t>
      </w:r>
    </w:p>
    <w:p w:rsidR="00847F01" w:rsidRDefault="009109C3">
      <w:pPr>
        <w:spacing w:before="2" w:line="244" w:lineRule="auto"/>
        <w:ind w:left="734" w:right="1524" w:hanging="1"/>
        <w:jc w:val="both"/>
        <w:rPr>
          <w:sz w:val="18"/>
        </w:rPr>
      </w:pPr>
      <w:r>
        <w:rPr>
          <w:color w:val="231F20"/>
          <w:sz w:val="18"/>
        </w:rPr>
        <w:t>Va indicato il numero complessivo di bagni a disposizione dei clienti all’interno della singola unità abitativa autonoma.</w:t>
      </w:r>
    </w:p>
    <w:p w:rsidR="00847F01" w:rsidRDefault="009109C3">
      <w:pPr>
        <w:pStyle w:val="Paragrafoelenco"/>
        <w:numPr>
          <w:ilvl w:val="0"/>
          <w:numId w:val="22"/>
        </w:numPr>
        <w:tabs>
          <w:tab w:val="left" w:pos="735"/>
        </w:tabs>
        <w:spacing w:line="219" w:lineRule="exact"/>
        <w:ind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Tipi di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unità:</w:t>
      </w:r>
    </w:p>
    <w:p w:rsidR="00847F01" w:rsidRDefault="009109C3">
      <w:pPr>
        <w:pStyle w:val="Paragrafoelenco"/>
        <w:numPr>
          <w:ilvl w:val="1"/>
          <w:numId w:val="22"/>
        </w:numPr>
        <w:tabs>
          <w:tab w:val="left" w:pos="1124"/>
        </w:tabs>
        <w:spacing w:before="2"/>
        <w:ind w:hanging="331"/>
        <w:rPr>
          <w:sz w:val="18"/>
        </w:rPr>
      </w:pPr>
      <w:r>
        <w:rPr>
          <w:color w:val="231F20"/>
          <w:sz w:val="18"/>
        </w:rPr>
        <w:t>Monolocale</w:t>
      </w:r>
    </w:p>
    <w:p w:rsidR="00847F01" w:rsidRDefault="009109C3">
      <w:pPr>
        <w:pStyle w:val="Paragrafoelenco"/>
        <w:numPr>
          <w:ilvl w:val="1"/>
          <w:numId w:val="22"/>
        </w:numPr>
        <w:tabs>
          <w:tab w:val="left" w:pos="1123"/>
        </w:tabs>
        <w:spacing w:before="4"/>
        <w:ind w:left="1122"/>
        <w:rPr>
          <w:sz w:val="18"/>
        </w:rPr>
      </w:pPr>
      <w:r>
        <w:rPr>
          <w:color w:val="231F20"/>
          <w:sz w:val="18"/>
        </w:rPr>
        <w:t>Bilocale</w:t>
      </w:r>
    </w:p>
    <w:p w:rsidR="00847F01" w:rsidRDefault="009109C3">
      <w:pPr>
        <w:pStyle w:val="Paragrafoelenco"/>
        <w:numPr>
          <w:ilvl w:val="1"/>
          <w:numId w:val="22"/>
        </w:numPr>
        <w:tabs>
          <w:tab w:val="left" w:pos="1123"/>
        </w:tabs>
        <w:spacing w:before="4"/>
        <w:ind w:left="1122"/>
        <w:rPr>
          <w:sz w:val="18"/>
        </w:rPr>
      </w:pPr>
      <w:r>
        <w:rPr>
          <w:color w:val="231F20"/>
          <w:sz w:val="18"/>
        </w:rPr>
        <w:t>Trilocale</w:t>
      </w:r>
    </w:p>
    <w:p w:rsidR="00847F01" w:rsidRDefault="009109C3">
      <w:pPr>
        <w:pStyle w:val="Paragrafoelenco"/>
        <w:numPr>
          <w:ilvl w:val="1"/>
          <w:numId w:val="22"/>
        </w:numPr>
        <w:tabs>
          <w:tab w:val="left" w:pos="1124"/>
        </w:tabs>
        <w:spacing w:before="4"/>
        <w:ind w:hanging="331"/>
        <w:rPr>
          <w:sz w:val="18"/>
        </w:rPr>
      </w:pPr>
      <w:r>
        <w:rPr>
          <w:color w:val="231F20"/>
          <w:sz w:val="18"/>
        </w:rPr>
        <w:t>Appartamento</w:t>
      </w:r>
    </w:p>
    <w:p w:rsidR="00847F01" w:rsidRDefault="009109C3">
      <w:pPr>
        <w:pStyle w:val="Paragrafoelenco"/>
        <w:numPr>
          <w:ilvl w:val="0"/>
          <w:numId w:val="22"/>
        </w:numPr>
        <w:tabs>
          <w:tab w:val="left" w:pos="733"/>
          <w:tab w:val="left" w:pos="735"/>
        </w:tabs>
        <w:spacing w:before="2"/>
        <w:ind w:hanging="392"/>
        <w:rPr>
          <w:b/>
          <w:sz w:val="18"/>
        </w:rPr>
      </w:pPr>
      <w:r>
        <w:rPr>
          <w:b/>
          <w:color w:val="231F20"/>
          <w:sz w:val="18"/>
        </w:rPr>
        <w:t>Caratteristiche</w:t>
      </w:r>
    </w:p>
    <w:p w:rsidR="00847F01" w:rsidRPr="00544AE2" w:rsidRDefault="009109C3" w:rsidP="00544AE2">
      <w:pPr>
        <w:spacing w:before="4" w:line="244" w:lineRule="auto"/>
        <w:ind w:left="734" w:right="1520"/>
        <w:jc w:val="both"/>
        <w:rPr>
          <w:color w:val="231F20"/>
          <w:sz w:val="18"/>
        </w:rPr>
      </w:pPr>
      <w:r>
        <w:rPr>
          <w:color w:val="231F20"/>
          <w:sz w:val="18"/>
        </w:rPr>
        <w:t>Le caratteristiche individuano una specifica localizzazione della struttura e saranno utilizzate ai fini di analisi statistica. La scelta è multipla, ma si invita a non duplicare le informazioni. Ad esempio, “Centro storico” è alternativo a “In area urbana”, ”Riva lago” può essere contestuale a “In area urbana”; “In periferia” è diverso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da “In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campagna”.</w:t>
      </w:r>
    </w:p>
    <w:sectPr w:rsidR="00847F01" w:rsidRPr="00544AE2" w:rsidSect="003B4342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BE" w:rsidRDefault="00955DBE" w:rsidP="00847F01">
      <w:r>
        <w:separator/>
      </w:r>
    </w:p>
  </w:endnote>
  <w:endnote w:type="continuationSeparator" w:id="0">
    <w:p w:rsidR="00955DBE" w:rsidRDefault="00955DBE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726" w:rsidRPr="00B847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726" w:rsidRPr="00B847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BE" w:rsidRDefault="00955DBE" w:rsidP="00847F01">
      <w:r>
        <w:separator/>
      </w:r>
    </w:p>
  </w:footnote>
  <w:footnote w:type="continuationSeparator" w:id="0">
    <w:p w:rsidR="00955DBE" w:rsidRDefault="00955DBE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B84726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B84726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24787"/>
    <w:rsid w:val="00056E48"/>
    <w:rsid w:val="00066079"/>
    <w:rsid w:val="003B4342"/>
    <w:rsid w:val="00405A7C"/>
    <w:rsid w:val="004A5D64"/>
    <w:rsid w:val="00544AE2"/>
    <w:rsid w:val="00561E1D"/>
    <w:rsid w:val="005F7430"/>
    <w:rsid w:val="00650CA9"/>
    <w:rsid w:val="00754892"/>
    <w:rsid w:val="007E2C3D"/>
    <w:rsid w:val="00847F01"/>
    <w:rsid w:val="00892BCD"/>
    <w:rsid w:val="008A762F"/>
    <w:rsid w:val="009109C3"/>
    <w:rsid w:val="00955DBE"/>
    <w:rsid w:val="009C2B62"/>
    <w:rsid w:val="00A15E16"/>
    <w:rsid w:val="00A34460"/>
    <w:rsid w:val="00A54928"/>
    <w:rsid w:val="00B84726"/>
    <w:rsid w:val="00B967BF"/>
    <w:rsid w:val="00C92475"/>
    <w:rsid w:val="00D128F2"/>
    <w:rsid w:val="00D4750F"/>
    <w:rsid w:val="00EF4D21"/>
    <w:rsid w:val="00FD4A3E"/>
    <w:rsid w:val="00F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2019-05-20T13:35:00Z</dcterms:created>
  <dcterms:modified xsi:type="dcterms:W3CDTF">2019-05-20T14:43:00Z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